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E19AF" w:rsidRDefault="00000000">
      <w:pPr>
        <w:overflowPunct w:val="0"/>
        <w:spacing w:beforeLines="50" w:before="156" w:afterLines="50" w:after="156" w:line="570" w:lineRule="exact"/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采购意向公开</w:t>
      </w:r>
    </w:p>
    <w:p w:rsidR="006E19AF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firstLineChars="200" w:firstLine="640"/>
        <w:rPr>
          <w:rFonts w:ascii="仿宋_GB2312" w:hAnsi="Arial" w:cs="Arial"/>
        </w:rPr>
      </w:pPr>
      <w:r>
        <w:rPr>
          <w:rFonts w:ascii="仿宋_GB2312" w:hAnsi="Arial" w:cs="Arial" w:hint="eastAsia"/>
        </w:rPr>
        <w:t>为便于供应商及时了解军队采购信息，根据《军队物资服务集中采购需求管理暂行办法》等有关规定，现将</w:t>
      </w:r>
      <w:r>
        <w:rPr>
          <w:rFonts w:ascii="仿宋_GB2312" w:hAnsi="Arial" w:cs="Arial" w:hint="eastAsia"/>
          <w:u w:val="single"/>
        </w:rPr>
        <w:t>重庆</w:t>
      </w:r>
      <w:r w:rsidR="007C2321">
        <w:rPr>
          <w:rFonts w:ascii="仿宋_GB2312" w:hAnsi="Arial" w:cs="Arial" w:hint="eastAsia"/>
          <w:u w:val="single"/>
        </w:rPr>
        <w:t>市</w:t>
      </w:r>
      <w:r>
        <w:rPr>
          <w:rFonts w:ascii="仿宋_GB2312" w:hAnsi="Arial" w:cs="Arial" w:hint="eastAsia"/>
          <w:u w:val="single"/>
        </w:rPr>
        <w:t>某部</w:t>
      </w:r>
      <w:r>
        <w:rPr>
          <w:rFonts w:ascii="仿宋_GB2312" w:hAnsi="Arial" w:cs="Arial" w:hint="eastAsia"/>
        </w:rPr>
        <w:t>的</w:t>
      </w:r>
      <w:r>
        <w:rPr>
          <w:rFonts w:ascii="仿宋_GB2312" w:hAnsi="Arial" w:cs="Arial" w:hint="eastAsia"/>
          <w:u w:val="single"/>
        </w:rPr>
        <w:t>服务支撑平台</w:t>
      </w:r>
      <w:r>
        <w:rPr>
          <w:rFonts w:ascii="仿宋_GB2312" w:hAnsi="Arial" w:cs="Arial" w:hint="eastAsia"/>
        </w:rPr>
        <w:t>采购意向公开如下：</w:t>
      </w:r>
    </w:p>
    <w:tbl>
      <w:tblPr>
        <w:tblW w:w="90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276"/>
        <w:gridCol w:w="1488"/>
        <w:gridCol w:w="2056"/>
        <w:gridCol w:w="1276"/>
        <w:gridCol w:w="1276"/>
        <w:gridCol w:w="992"/>
      </w:tblGrid>
      <w:tr w:rsidR="006E19AF">
        <w:trPr>
          <w:trHeight w:val="713"/>
          <w:jc w:val="center"/>
        </w:trPr>
        <w:tc>
          <w:tcPr>
            <w:tcW w:w="710" w:type="dxa"/>
            <w:vAlign w:val="center"/>
          </w:tcPr>
          <w:p w:rsidR="006E19AF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序号</w:t>
            </w:r>
          </w:p>
        </w:tc>
        <w:tc>
          <w:tcPr>
            <w:tcW w:w="1276" w:type="dxa"/>
            <w:vAlign w:val="center"/>
          </w:tcPr>
          <w:p w:rsidR="006E19AF" w:rsidRDefault="00000000">
            <w:pPr>
              <w:tabs>
                <w:tab w:val="left" w:pos="993"/>
                <w:tab w:val="left" w:pos="1134"/>
                <w:tab w:val="left" w:pos="116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采购项目名    称</w:t>
            </w:r>
          </w:p>
        </w:tc>
        <w:tc>
          <w:tcPr>
            <w:tcW w:w="1488" w:type="dxa"/>
            <w:vAlign w:val="center"/>
          </w:tcPr>
          <w:p w:rsidR="006E19AF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需求概况</w:t>
            </w:r>
          </w:p>
        </w:tc>
        <w:tc>
          <w:tcPr>
            <w:tcW w:w="2056" w:type="dxa"/>
            <w:vAlign w:val="center"/>
          </w:tcPr>
          <w:p w:rsidR="006E19AF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初步技术</w:t>
            </w:r>
            <w:r>
              <w:rPr>
                <w:rFonts w:ascii="黑体" w:eastAsia="黑体" w:hAnsi="黑体" w:cs="Arial"/>
                <w:sz w:val="24"/>
                <w:szCs w:val="20"/>
              </w:rPr>
              <w:br/>
            </w:r>
            <w:r>
              <w:rPr>
                <w:rFonts w:ascii="黑体" w:eastAsia="黑体" w:hAnsi="黑体" w:cs="Arial" w:hint="eastAsia"/>
                <w:sz w:val="24"/>
                <w:szCs w:val="20"/>
              </w:rPr>
              <w:t>参    数</w:t>
            </w:r>
          </w:p>
        </w:tc>
        <w:tc>
          <w:tcPr>
            <w:tcW w:w="1276" w:type="dxa"/>
            <w:vAlign w:val="center"/>
          </w:tcPr>
          <w:p w:rsidR="006E19AF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预算金额</w:t>
            </w:r>
          </w:p>
          <w:p w:rsidR="006E19AF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（万元）</w:t>
            </w:r>
          </w:p>
        </w:tc>
        <w:tc>
          <w:tcPr>
            <w:tcW w:w="1276" w:type="dxa"/>
            <w:vAlign w:val="center"/>
          </w:tcPr>
          <w:p w:rsidR="006E19AF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预计采购时    间</w:t>
            </w:r>
          </w:p>
        </w:tc>
        <w:tc>
          <w:tcPr>
            <w:tcW w:w="992" w:type="dxa"/>
            <w:vAlign w:val="center"/>
          </w:tcPr>
          <w:p w:rsidR="006E19AF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备注</w:t>
            </w:r>
          </w:p>
        </w:tc>
      </w:tr>
      <w:tr w:rsidR="006E19AF">
        <w:trPr>
          <w:trHeight w:val="2003"/>
          <w:jc w:val="center"/>
        </w:trPr>
        <w:tc>
          <w:tcPr>
            <w:tcW w:w="710" w:type="dxa"/>
            <w:vAlign w:val="center"/>
          </w:tcPr>
          <w:p w:rsidR="006E19AF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6E19AF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服务支撑平台</w:t>
            </w:r>
          </w:p>
        </w:tc>
        <w:tc>
          <w:tcPr>
            <w:tcW w:w="1488" w:type="dxa"/>
            <w:vAlign w:val="center"/>
          </w:tcPr>
          <w:p w:rsidR="006E19AF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共2套（内网1套，外网1套）</w:t>
            </w:r>
          </w:p>
        </w:tc>
        <w:tc>
          <w:tcPr>
            <w:tcW w:w="2056" w:type="dxa"/>
            <w:vAlign w:val="center"/>
          </w:tcPr>
          <w:p w:rsidR="006E19AF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详见附件。</w:t>
            </w:r>
          </w:p>
        </w:tc>
        <w:tc>
          <w:tcPr>
            <w:tcW w:w="1276" w:type="dxa"/>
            <w:vAlign w:val="center"/>
          </w:tcPr>
          <w:p w:rsidR="006E19AF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480</w:t>
            </w:r>
          </w:p>
        </w:tc>
        <w:tc>
          <w:tcPr>
            <w:tcW w:w="1276" w:type="dxa"/>
            <w:vAlign w:val="center"/>
          </w:tcPr>
          <w:p w:rsidR="006E19AF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2023年7月</w:t>
            </w:r>
          </w:p>
        </w:tc>
        <w:tc>
          <w:tcPr>
            <w:tcW w:w="992" w:type="dxa"/>
            <w:vAlign w:val="center"/>
          </w:tcPr>
          <w:p w:rsidR="006E19AF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无</w:t>
            </w:r>
          </w:p>
        </w:tc>
      </w:tr>
    </w:tbl>
    <w:p w:rsidR="006E19AF" w:rsidRDefault="00000000">
      <w:pPr>
        <w:tabs>
          <w:tab w:val="left" w:pos="993"/>
          <w:tab w:val="left" w:pos="1134"/>
        </w:tabs>
        <w:overflowPunct w:val="0"/>
        <w:spacing w:line="570" w:lineRule="exact"/>
        <w:ind w:leftChars="200" w:left="1458" w:hangingChars="292" w:hanging="818"/>
        <w:rPr>
          <w:rFonts w:ascii="仿宋_GB2312" w:hAnsi="Arial" w:cs="Arial"/>
          <w:sz w:val="28"/>
        </w:rPr>
      </w:pPr>
      <w:r>
        <w:rPr>
          <w:rFonts w:ascii="仿宋_GB2312" w:hAnsi="Arial" w:cs="Arial" w:hint="eastAsia"/>
          <w:sz w:val="28"/>
        </w:rPr>
        <w:t>注：1.本次公开的采购意向仅作为供应商了解初步采购安排的参考，采购项目具体情况以最终发布的采购公告和采购文件为准；</w:t>
      </w:r>
    </w:p>
    <w:p w:rsidR="006E19AF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firstLineChars="407" w:firstLine="1140"/>
        <w:rPr>
          <w:rFonts w:ascii="仿宋_GB2312" w:hAnsi="Arial" w:cs="Arial"/>
          <w:sz w:val="28"/>
        </w:rPr>
      </w:pPr>
      <w:r>
        <w:rPr>
          <w:rFonts w:ascii="仿宋_GB2312" w:hAnsi="Arial" w:cs="Arial" w:hint="eastAsia"/>
          <w:sz w:val="28"/>
        </w:rPr>
        <w:t>2.供应商可以通过军队采购平台反馈参与意向和意见建议。</w:t>
      </w:r>
    </w:p>
    <w:p w:rsidR="006E19AF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firstLineChars="350" w:firstLine="1120"/>
        <w:rPr>
          <w:rFonts w:ascii="仿宋_GB2312" w:hAnsi="Arial" w:cs="Arial"/>
        </w:rPr>
      </w:pPr>
      <w:r>
        <w:rPr>
          <w:rFonts w:ascii="仿宋_GB2312" w:hAnsi="Arial" w:cs="Arial" w:hint="eastAsia"/>
        </w:rPr>
        <w:t xml:space="preserve">                        </w:t>
      </w:r>
    </w:p>
    <w:p w:rsidR="006E19AF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right="278" w:firstLineChars="300" w:firstLine="960"/>
        <w:jc w:val="center"/>
        <w:rPr>
          <w:rFonts w:ascii="仿宋_GB2312" w:hAnsi="Arial" w:cs="Arial"/>
        </w:rPr>
      </w:pPr>
      <w:r>
        <w:rPr>
          <w:rFonts w:ascii="仿宋_GB2312" w:hAnsi="Arial" w:cs="Arial" w:hint="eastAsia"/>
        </w:rPr>
        <w:t xml:space="preserve">                        </w:t>
      </w:r>
      <w:r>
        <w:rPr>
          <w:rFonts w:ascii="黑体" w:eastAsia="黑体" w:hAnsi="黑体" w:cs="宋体" w:hint="eastAsia"/>
          <w:sz w:val="24"/>
        </w:rPr>
        <w:t xml:space="preserve">            </w:t>
      </w:r>
      <w:r>
        <w:rPr>
          <w:rFonts w:ascii="仿宋_GB2312" w:hAnsi="Arial" w:cs="Arial" w:hint="eastAsia"/>
        </w:rPr>
        <w:t>重庆</w:t>
      </w:r>
      <w:r w:rsidR="007C2321">
        <w:rPr>
          <w:rFonts w:ascii="仿宋_GB2312" w:hAnsi="Arial" w:cs="Arial" w:hint="eastAsia"/>
        </w:rPr>
        <w:t>市</w:t>
      </w:r>
      <w:r>
        <w:rPr>
          <w:rFonts w:ascii="仿宋_GB2312" w:hAnsi="Arial" w:cs="Arial" w:hint="eastAsia"/>
        </w:rPr>
        <w:t>某部</w:t>
      </w:r>
    </w:p>
    <w:p w:rsidR="006E19AF" w:rsidRDefault="00000000" w:rsidP="001D1CC7">
      <w:pPr>
        <w:overflowPunct w:val="0"/>
        <w:spacing w:line="570" w:lineRule="exact"/>
        <w:ind w:firstLineChars="1800" w:firstLine="5760"/>
        <w:rPr>
          <w:rFonts w:ascii="仿宋_GB2312" w:hAnsi="Arial" w:cs="Arial"/>
        </w:rPr>
      </w:pPr>
      <w:r>
        <w:rPr>
          <w:rFonts w:ascii="仿宋_GB2312" w:hAnsi="Arial" w:cs="Arial" w:hint="eastAsia"/>
        </w:rPr>
        <w:t>2023年5月</w:t>
      </w:r>
      <w:r w:rsidR="001D1CC7">
        <w:rPr>
          <w:rFonts w:ascii="仿宋_GB2312" w:hAnsi="Arial" w:cs="Arial"/>
        </w:rPr>
        <w:t>18</w:t>
      </w:r>
      <w:r>
        <w:rPr>
          <w:rFonts w:ascii="仿宋_GB2312" w:hAnsi="Arial" w:cs="Arial" w:hint="eastAsia"/>
        </w:rPr>
        <w:t>日</w:t>
      </w:r>
    </w:p>
    <w:p w:rsidR="006E19AF" w:rsidRDefault="00000000">
      <w:pPr>
        <w:widowControl/>
        <w:jc w:val="left"/>
      </w:pPr>
      <w:r>
        <w:br w:type="page"/>
      </w:r>
    </w:p>
    <w:p w:rsidR="006E19AF" w:rsidRDefault="00000000">
      <w:pPr>
        <w:rPr>
          <w:rFonts w:ascii="黑体" w:eastAsia="黑体" w:hAnsi="黑体"/>
        </w:rPr>
      </w:pPr>
      <w:r>
        <w:rPr>
          <w:rFonts w:ascii="黑体" w:eastAsia="黑体" w:hAnsi="黑体" w:hint="eastAsia"/>
        </w:rPr>
        <w:lastRenderedPageBreak/>
        <w:t>附件</w:t>
      </w:r>
    </w:p>
    <w:p w:rsidR="006E19AF" w:rsidRDefault="006E19AF"/>
    <w:p w:rsidR="006E19AF" w:rsidRDefault="00000000">
      <w:pPr>
        <w:adjustRightInd w:val="0"/>
        <w:snapToGrid w:val="0"/>
        <w:spacing w:line="579" w:lineRule="exact"/>
        <w:ind w:left="640"/>
        <w:outlineLvl w:val="3"/>
        <w:rPr>
          <w:rFonts w:ascii="微软雅黑" w:hAnsi="微软雅黑" w:cs="微软雅黑"/>
          <w:lang w:eastAsia="zh-Hans"/>
        </w:rPr>
      </w:pPr>
      <w:r>
        <w:rPr>
          <w:rFonts w:cs="Arial" w:hint="eastAsia"/>
          <w:kern w:val="10"/>
          <w:szCs w:val="22"/>
        </w:rPr>
        <w:t>1.</w:t>
      </w:r>
      <w:r>
        <w:rPr>
          <w:rFonts w:cs="Arial"/>
          <w:kern w:val="10"/>
          <w:szCs w:val="22"/>
          <w:lang w:eastAsia="zh-Hans"/>
        </w:rPr>
        <w:t>数据支</w:t>
      </w:r>
      <w:r>
        <w:rPr>
          <w:rFonts w:ascii="微软雅黑" w:hAnsi="微软雅黑" w:cs="微软雅黑" w:hint="eastAsia"/>
          <w:lang w:eastAsia="zh-Hans"/>
        </w:rPr>
        <w:t>撑平台</w:t>
      </w:r>
    </w:p>
    <w:p w:rsidR="006E19AF" w:rsidRDefault="00000000">
      <w:pPr>
        <w:spacing w:line="597" w:lineRule="exact"/>
        <w:ind w:firstLine="560"/>
        <w:rPr>
          <w:rFonts w:cs="Arial"/>
          <w:kern w:val="10"/>
          <w:szCs w:val="22"/>
        </w:rPr>
      </w:pPr>
      <w:r>
        <w:rPr>
          <w:rFonts w:hint="eastAsia"/>
        </w:rPr>
        <w:t>数据支撑平台</w:t>
      </w:r>
      <w:r>
        <w:rPr>
          <w:rFonts w:hint="eastAsia"/>
          <w:lang w:eastAsia="zh-Hans"/>
        </w:rPr>
        <w:t>由数据采集工具，数据清洗治理工具、数据共享交换平台、数据资产平台、数据安全管理平台构成。</w:t>
      </w:r>
    </w:p>
    <w:p w:rsidR="006E19AF" w:rsidRDefault="00000000">
      <w:pPr>
        <w:spacing w:line="597" w:lineRule="exact"/>
        <w:ind w:firstLine="560"/>
        <w:rPr>
          <w:rFonts w:cs="Arial"/>
          <w:kern w:val="10"/>
          <w:szCs w:val="22"/>
        </w:rPr>
      </w:pPr>
      <w:r>
        <w:rPr>
          <w:rFonts w:cs="Arial"/>
          <w:kern w:val="10"/>
          <w:szCs w:val="22"/>
        </w:rPr>
        <w:t>数据采集工具包括离线数据采集、在线数据采集、数据采集可视化</w:t>
      </w:r>
      <w:r>
        <w:rPr>
          <w:rFonts w:cs="Arial" w:hint="eastAsia"/>
          <w:kern w:val="10"/>
          <w:szCs w:val="22"/>
        </w:rPr>
        <w:t>；</w:t>
      </w:r>
      <w:r>
        <w:rPr>
          <w:rFonts w:cs="Arial"/>
          <w:kern w:val="10"/>
          <w:szCs w:val="22"/>
        </w:rPr>
        <w:t>数据清洗治理包括数据标准制定、数据治理可视化管理、数据管理、数据仓库、数据质量管理；数据共享平台包括</w:t>
      </w:r>
      <w:r>
        <w:rPr>
          <w:rFonts w:cs="Arial" w:hint="eastAsia"/>
          <w:kern w:val="10"/>
          <w:szCs w:val="22"/>
        </w:rPr>
        <w:t>数据资源目录管理、数据共享需求管理、数据交换管理</w:t>
      </w:r>
      <w:r>
        <w:rPr>
          <w:rFonts w:cs="Arial"/>
          <w:kern w:val="10"/>
          <w:szCs w:val="22"/>
        </w:rPr>
        <w:t>；</w:t>
      </w:r>
      <w:r>
        <w:rPr>
          <w:rFonts w:cs="Arial" w:hint="eastAsia"/>
          <w:kern w:val="10"/>
          <w:szCs w:val="22"/>
        </w:rPr>
        <w:t>数据资产平台包括数据状态监控、展示</w:t>
      </w:r>
      <w:r>
        <w:rPr>
          <w:rFonts w:cs="Arial"/>
          <w:kern w:val="10"/>
          <w:szCs w:val="22"/>
        </w:rPr>
        <w:t>；</w:t>
      </w:r>
      <w:r>
        <w:rPr>
          <w:rFonts w:cs="Arial" w:hint="eastAsia"/>
          <w:kern w:val="10"/>
          <w:szCs w:val="22"/>
        </w:rPr>
        <w:t>数据安全管理平台包括数据分类分级、数据安全监测、数据加密脱密。</w:t>
      </w:r>
    </w:p>
    <w:p w:rsidR="006E19AF" w:rsidRDefault="00000000">
      <w:pPr>
        <w:adjustRightInd w:val="0"/>
        <w:snapToGrid w:val="0"/>
        <w:spacing w:line="579" w:lineRule="exact"/>
        <w:ind w:left="640"/>
        <w:outlineLvl w:val="3"/>
        <w:rPr>
          <w:rFonts w:ascii="微软雅黑" w:hAnsi="微软雅黑" w:cs="微软雅黑"/>
        </w:rPr>
      </w:pPr>
      <w:r>
        <w:rPr>
          <w:rFonts w:cs="Arial" w:hint="eastAsia"/>
          <w:kern w:val="10"/>
          <w:szCs w:val="22"/>
        </w:rPr>
        <w:t>2.</w:t>
      </w:r>
      <w:r>
        <w:rPr>
          <w:rFonts w:cs="Arial"/>
          <w:kern w:val="10"/>
          <w:szCs w:val="22"/>
        </w:rPr>
        <w:t>智能辅助决</w:t>
      </w:r>
      <w:r>
        <w:rPr>
          <w:rFonts w:ascii="微软雅黑" w:hAnsi="微软雅黑" w:cs="微软雅黑" w:hint="eastAsia"/>
        </w:rPr>
        <w:t>策</w:t>
      </w:r>
    </w:p>
    <w:p w:rsidR="006E19AF" w:rsidRDefault="00000000">
      <w:pPr>
        <w:ind w:firstLine="560"/>
      </w:pPr>
      <w:r>
        <w:t>①</w:t>
      </w:r>
      <w:r>
        <w:rPr>
          <w:rFonts w:hint="eastAsia"/>
        </w:rPr>
        <w:t>数据分析展示平台</w:t>
      </w:r>
    </w:p>
    <w:p w:rsidR="006E19AF" w:rsidRDefault="00000000">
      <w:pPr>
        <w:ind w:firstLine="560"/>
        <w:rPr>
          <w:lang w:eastAsia="zh-Hans"/>
        </w:rPr>
      </w:pPr>
      <w:r>
        <w:rPr>
          <w:rFonts w:hint="eastAsia"/>
          <w:lang w:eastAsia="zh-Hans"/>
        </w:rPr>
        <w:t>建设</w:t>
      </w:r>
      <w:r>
        <w:rPr>
          <w:rFonts w:hint="eastAsia"/>
          <w:lang w:eastAsia="zh-Hans"/>
        </w:rPr>
        <w:t>BI</w:t>
      </w:r>
      <w:r>
        <w:rPr>
          <w:rFonts w:hint="eastAsia"/>
          <w:lang w:eastAsia="zh-Hans"/>
        </w:rPr>
        <w:t>可视化工具，为大学提供一个完整的数据展示，从数据接入到模型分析、数据可视化呈现全流程</w:t>
      </w:r>
      <w:r>
        <w:rPr>
          <w:rFonts w:hint="eastAsia"/>
          <w:lang w:eastAsia="zh-Hans"/>
        </w:rPr>
        <w:t xml:space="preserve"> BI </w:t>
      </w:r>
      <w:r>
        <w:rPr>
          <w:rFonts w:hint="eastAsia"/>
          <w:lang w:eastAsia="zh-Hans"/>
        </w:rPr>
        <w:t>能力，实现快速获取决策数据。通过简单的配置，即可实现可视化报表的设计。</w:t>
      </w:r>
      <w:r>
        <w:rPr>
          <w:rFonts w:hint="eastAsia"/>
          <w:szCs w:val="21"/>
        </w:rPr>
        <w:t>在数据源对接支持上，与数据支持平台直接对接，选择基础数据进行报表制作。</w:t>
      </w:r>
    </w:p>
    <w:p w:rsidR="006E19AF" w:rsidRDefault="00000000">
      <w:pPr>
        <w:ind w:firstLine="560"/>
        <w:rPr>
          <w:szCs w:val="21"/>
        </w:rPr>
      </w:pPr>
      <w:r>
        <w:rPr>
          <w:rFonts w:hint="eastAsia"/>
          <w:szCs w:val="21"/>
        </w:rPr>
        <w:t>在图形</w:t>
      </w:r>
      <w:r>
        <w:rPr>
          <w:szCs w:val="21"/>
        </w:rPr>
        <w:t>呈现上</w:t>
      </w:r>
      <w:r>
        <w:rPr>
          <w:rFonts w:hint="eastAsia"/>
          <w:szCs w:val="21"/>
        </w:rPr>
        <w:t>支持图表自由设计，包括拖拽式图表创建、组件</w:t>
      </w:r>
      <w:r>
        <w:rPr>
          <w:szCs w:val="21"/>
        </w:rPr>
        <w:t>Tab</w:t>
      </w:r>
      <w:r>
        <w:rPr>
          <w:rFonts w:hint="eastAsia"/>
          <w:szCs w:val="21"/>
        </w:rPr>
        <w:t>模式、条件配置、对比轴设置，图表联动、图表下钻等。</w:t>
      </w:r>
    </w:p>
    <w:p w:rsidR="006E19AF" w:rsidRDefault="00000000">
      <w:pPr>
        <w:ind w:firstLine="560"/>
      </w:pPr>
      <w:r>
        <w:t>②</w:t>
      </w:r>
      <w:r>
        <w:rPr>
          <w:rFonts w:hint="eastAsia"/>
        </w:rPr>
        <w:t>教育训练核心业务态势</w:t>
      </w:r>
    </w:p>
    <w:p w:rsidR="006E19AF" w:rsidRDefault="00000000">
      <w:pPr>
        <w:ind w:firstLine="560"/>
      </w:pPr>
      <w:r>
        <w:rPr>
          <w:rFonts w:hint="eastAsia"/>
        </w:rPr>
        <w:t>搭建数据分析模型。基于教学、</w:t>
      </w:r>
      <w:r>
        <w:rPr>
          <w:rFonts w:hint="eastAsia"/>
        </w:rPr>
        <w:t>XL</w:t>
      </w:r>
      <w:r>
        <w:rPr>
          <w:rFonts w:hint="eastAsia"/>
        </w:rPr>
        <w:t>、科研、保障核心业</w:t>
      </w:r>
      <w:r>
        <w:rPr>
          <w:rFonts w:hint="eastAsia"/>
        </w:rPr>
        <w:lastRenderedPageBreak/>
        <w:t>务数据，建立相应数据分析模型，形成相关业务的态势分析，提供教学质量检测直观数据依据、训练计划制定执行、科研能力决策支撑、校园资产的总体掌控。同时在决策中心大屏实现各业务态势展示。</w:t>
      </w:r>
    </w:p>
    <w:p w:rsidR="006E19AF" w:rsidRDefault="00000000">
      <w:pPr>
        <w:ind w:firstLine="560"/>
      </w:pPr>
      <w:r>
        <w:t>③</w:t>
      </w:r>
      <w:r>
        <w:rPr>
          <w:rFonts w:hint="eastAsia"/>
        </w:rPr>
        <w:t>管理驾驶舱</w:t>
      </w:r>
    </w:p>
    <w:p w:rsidR="006E19AF" w:rsidRDefault="00000000">
      <w:pPr>
        <w:ind w:firstLine="560"/>
      </w:pPr>
      <w:r>
        <w:rPr>
          <w:rFonts w:hint="eastAsia"/>
        </w:rPr>
        <w:t>依托</w:t>
      </w:r>
      <w:r>
        <w:t>数据支撑平台</w:t>
      </w:r>
      <w:r>
        <w:rPr>
          <w:rFonts w:hint="eastAsia"/>
        </w:rPr>
        <w:t>和</w:t>
      </w:r>
      <w:r>
        <w:t>BI</w:t>
      </w:r>
      <w:r>
        <w:t>可视化工具</w:t>
      </w:r>
      <w:r>
        <w:rPr>
          <w:rFonts w:hint="eastAsia"/>
        </w:rPr>
        <w:t>建立校园运行驾驶舱，通过驾驶舱可以全面了解校园整体运行情况，包括训练物资、教学</w:t>
      </w:r>
      <w:r>
        <w:rPr>
          <w:rFonts w:hint="eastAsia"/>
        </w:rPr>
        <w:t>XL</w:t>
      </w:r>
      <w:r>
        <w:rPr>
          <w:rFonts w:hint="eastAsia"/>
        </w:rPr>
        <w:t>、两员服务等综合信息；建立教学、</w:t>
      </w:r>
      <w:r>
        <w:rPr>
          <w:rFonts w:hint="eastAsia"/>
        </w:rPr>
        <w:t>X</w:t>
      </w:r>
      <w:r>
        <w:t>L</w:t>
      </w:r>
      <w:r>
        <w:rPr>
          <w:rFonts w:hint="eastAsia"/>
        </w:rPr>
        <w:t>、科研、保障驾驶舱，通过</w:t>
      </w:r>
      <w:r>
        <w:rPr>
          <w:rFonts w:hint="eastAsia"/>
        </w:rPr>
        <w:t>BI</w:t>
      </w:r>
      <w:r>
        <w:rPr>
          <w:rFonts w:hint="eastAsia"/>
        </w:rPr>
        <w:t>可视化</w:t>
      </w:r>
      <w:r>
        <w:t>工具</w:t>
      </w:r>
      <w:r>
        <w:rPr>
          <w:rFonts w:hint="eastAsia"/>
        </w:rPr>
        <w:t>对综合数据展示，方便领导及时掌控学校主要业务的信息情况。</w:t>
      </w:r>
    </w:p>
    <w:p w:rsidR="006E19AF" w:rsidRDefault="00000000">
      <w:pPr>
        <w:ind w:firstLine="560"/>
      </w:pPr>
      <w:r>
        <w:rPr>
          <w:rFonts w:hint="eastAsia"/>
        </w:rPr>
        <w:t>3.</w:t>
      </w:r>
      <w:r>
        <w:rPr>
          <w:rFonts w:hint="eastAsia"/>
        </w:rPr>
        <w:t>更新和完善大学数据标准、数据共享交换规范等</w:t>
      </w:r>
    </w:p>
    <w:p w:rsidR="006E19AF" w:rsidRDefault="006E19AF">
      <w:pPr>
        <w:ind w:firstLine="560"/>
      </w:pPr>
    </w:p>
    <w:sectPr w:rsidR="006E19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B7759"/>
    <w:multiLevelType w:val="multilevel"/>
    <w:tmpl w:val="01CB7759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0"/>
      </w:pPr>
      <w:rPr>
        <w:rFonts w:ascii="楷体_GB2312" w:eastAsia="楷体_GB2312"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ascii="仿宋_GB2312" w:eastAsia="仿宋_GB2312"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ascii="仿宋_GB2312" w:eastAsia="仿宋_GB2312" w:hint="eastAsia"/>
      </w:rPr>
    </w:lvl>
    <w:lvl w:ilvl="4">
      <w:start w:val="1"/>
      <w:numFmt w:val="decimal"/>
      <w:pStyle w:val="5"/>
      <w:suff w:val="nothing"/>
      <w:lvlText w:val="%1.%2.%3.%4.%5"/>
      <w:lvlJc w:val="left"/>
      <w:pPr>
        <w:ind w:left="0" w:firstLine="0"/>
      </w:pPr>
      <w:rPr>
        <w:rFonts w:ascii="仿宋_GB2312" w:eastAsia="仿宋_GB2312"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 w16cid:durableId="466700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GUxM2M1NWUxNmRhOWUwODc4NWZkNmFiYTg2NmJmMGEifQ=="/>
  </w:docVars>
  <w:rsids>
    <w:rsidRoot w:val="000F6BE8"/>
    <w:rsid w:val="000F6BE8"/>
    <w:rsid w:val="001B6C05"/>
    <w:rsid w:val="001D1CC7"/>
    <w:rsid w:val="00250F25"/>
    <w:rsid w:val="00521A8E"/>
    <w:rsid w:val="005918F9"/>
    <w:rsid w:val="005C6E1E"/>
    <w:rsid w:val="00645568"/>
    <w:rsid w:val="006E19AF"/>
    <w:rsid w:val="006F3FE9"/>
    <w:rsid w:val="007C2321"/>
    <w:rsid w:val="0081078C"/>
    <w:rsid w:val="00A50965"/>
    <w:rsid w:val="00B91A8A"/>
    <w:rsid w:val="00C0123C"/>
    <w:rsid w:val="00C21B3E"/>
    <w:rsid w:val="00D24638"/>
    <w:rsid w:val="00ED640D"/>
    <w:rsid w:val="00F443B5"/>
    <w:rsid w:val="03833CB0"/>
    <w:rsid w:val="0D1874E4"/>
    <w:rsid w:val="18B26DC6"/>
    <w:rsid w:val="18D63D2D"/>
    <w:rsid w:val="191C7AF8"/>
    <w:rsid w:val="2130749E"/>
    <w:rsid w:val="21BA145D"/>
    <w:rsid w:val="23A3664D"/>
    <w:rsid w:val="27FA25B3"/>
    <w:rsid w:val="2DCF54A2"/>
    <w:rsid w:val="35337105"/>
    <w:rsid w:val="365A4DE8"/>
    <w:rsid w:val="3810372D"/>
    <w:rsid w:val="3A872D51"/>
    <w:rsid w:val="3B0C65F0"/>
    <w:rsid w:val="3D687B67"/>
    <w:rsid w:val="43291B47"/>
    <w:rsid w:val="46142BD9"/>
    <w:rsid w:val="47ED08B6"/>
    <w:rsid w:val="492E6109"/>
    <w:rsid w:val="49A81A17"/>
    <w:rsid w:val="4DE6259E"/>
    <w:rsid w:val="4E9702AC"/>
    <w:rsid w:val="5A5D23AA"/>
    <w:rsid w:val="639B3955"/>
    <w:rsid w:val="650D6C14"/>
    <w:rsid w:val="65A827C1"/>
    <w:rsid w:val="6ADE2B56"/>
    <w:rsid w:val="6B0F256A"/>
    <w:rsid w:val="704020FA"/>
    <w:rsid w:val="74F76AF1"/>
    <w:rsid w:val="79EB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B70412"/>
  <w15:docId w15:val="{CCDED460-1775-422A-9655-5F213BDE7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paragraph" w:styleId="1">
    <w:name w:val="heading 1"/>
    <w:next w:val="a"/>
    <w:link w:val="10"/>
    <w:uiPriority w:val="9"/>
    <w:qFormat/>
    <w:pPr>
      <w:keepNext/>
      <w:keepLines/>
      <w:numPr>
        <w:numId w:val="1"/>
      </w:numPr>
      <w:spacing w:line="579" w:lineRule="exact"/>
      <w:outlineLvl w:val="0"/>
    </w:pPr>
    <w:rPr>
      <w:rFonts w:ascii="黑体" w:eastAsia="黑体" w:hAnsi="黑体" w:cs="Times New Roman"/>
      <w:sz w:val="28"/>
      <w:szCs w:val="28"/>
    </w:rPr>
  </w:style>
  <w:style w:type="paragraph" w:styleId="2">
    <w:name w:val="heading 2"/>
    <w:next w:val="a"/>
    <w:link w:val="20"/>
    <w:uiPriority w:val="9"/>
    <w:qFormat/>
    <w:pPr>
      <w:keepNext/>
      <w:keepLines/>
      <w:numPr>
        <w:ilvl w:val="1"/>
        <w:numId w:val="1"/>
      </w:numPr>
      <w:spacing w:line="579" w:lineRule="exact"/>
      <w:outlineLvl w:val="1"/>
    </w:pPr>
    <w:rPr>
      <w:rFonts w:ascii="楷体_GB2312" w:eastAsia="楷体_GB2312" w:hAnsi="Arial" w:cs="Times New Roman"/>
      <w:kern w:val="10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pPr>
      <w:numPr>
        <w:ilvl w:val="2"/>
        <w:numId w:val="1"/>
      </w:numPr>
      <w:snapToGrid w:val="0"/>
      <w:spacing w:line="579" w:lineRule="exact"/>
      <w:outlineLvl w:val="2"/>
    </w:pPr>
    <w:rPr>
      <w:rFonts w:ascii="仿宋_GB2312" w:hAnsi="楷体_GB2312" w:cs="Arial"/>
      <w:kern w:val="10"/>
      <w:sz w:val="28"/>
      <w:szCs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adjustRightInd w:val="0"/>
      <w:outlineLvl w:val="3"/>
    </w:pPr>
    <w:rPr>
      <w:rFonts w:ascii="Times New Roman" w:hAnsi="Times New Roman"/>
      <w:szCs w:val="22"/>
    </w:rPr>
  </w:style>
  <w:style w:type="paragraph" w:styleId="5">
    <w:name w:val="heading 5"/>
    <w:basedOn w:val="a"/>
    <w:next w:val="a"/>
    <w:link w:val="50"/>
    <w:uiPriority w:val="9"/>
    <w:qFormat/>
    <w:pPr>
      <w:keepNext/>
      <w:numPr>
        <w:ilvl w:val="4"/>
        <w:numId w:val="1"/>
      </w:numPr>
      <w:adjustRightInd w:val="0"/>
      <w:snapToGrid w:val="0"/>
      <w:spacing w:line="579" w:lineRule="exact"/>
      <w:outlineLvl w:val="4"/>
    </w:pPr>
    <w:rPr>
      <w:rFonts w:ascii="微软雅黑" w:hAnsi="微软雅黑" w:cs="微软雅黑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next w:val="a"/>
    <w:qFormat/>
    <w:pPr>
      <w:spacing w:line="360" w:lineRule="auto"/>
      <w:jc w:val="center"/>
    </w:pPr>
    <w:rPr>
      <w:rFonts w:ascii="黑体" w:eastAsia="黑体" w:hAnsi="黑体" w:cstheme="majorBidi"/>
      <w:kern w:val="10"/>
      <w:sz w:val="24"/>
    </w:r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仿宋_GB2312" w:hAnsi="Times New Roman" w:cs="Times New Roman"/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rFonts w:ascii="Times New Roman" w:eastAsia="仿宋_GB2312" w:hAnsi="Times New Roman" w:cs="Times New Roman"/>
      <w:kern w:val="2"/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="黑体" w:eastAsia="黑体" w:hAnsi="黑体" w:cs="Times New Roman"/>
      <w:sz w:val="28"/>
      <w:szCs w:val="28"/>
    </w:rPr>
  </w:style>
  <w:style w:type="character" w:customStyle="1" w:styleId="20">
    <w:name w:val="标题 2 字符"/>
    <w:basedOn w:val="a0"/>
    <w:link w:val="2"/>
    <w:uiPriority w:val="9"/>
    <w:qFormat/>
    <w:rPr>
      <w:rFonts w:ascii="楷体_GB2312" w:eastAsia="楷体_GB2312" w:hAnsi="Arial" w:cs="Times New Roman"/>
      <w:kern w:val="10"/>
      <w:sz w:val="28"/>
      <w:szCs w:val="28"/>
    </w:rPr>
  </w:style>
  <w:style w:type="character" w:customStyle="1" w:styleId="30">
    <w:name w:val="标题 3 字符"/>
    <w:basedOn w:val="a0"/>
    <w:link w:val="3"/>
    <w:uiPriority w:val="9"/>
    <w:qFormat/>
    <w:rPr>
      <w:rFonts w:ascii="仿宋_GB2312" w:eastAsia="仿宋_GB2312" w:hAnsi="楷体_GB2312" w:cs="Arial"/>
      <w:kern w:val="10"/>
      <w:sz w:val="28"/>
      <w:szCs w:val="28"/>
    </w:rPr>
  </w:style>
  <w:style w:type="character" w:customStyle="1" w:styleId="40">
    <w:name w:val="标题 4 字符"/>
    <w:basedOn w:val="a0"/>
    <w:link w:val="4"/>
    <w:qFormat/>
    <w:rPr>
      <w:rFonts w:ascii="Times New Roman" w:eastAsia="仿宋_GB2312" w:hAnsi="Times New Roman" w:cs="Arial"/>
      <w:kern w:val="10"/>
      <w:sz w:val="28"/>
      <w:szCs w:val="22"/>
    </w:rPr>
  </w:style>
  <w:style w:type="character" w:customStyle="1" w:styleId="50">
    <w:name w:val="标题 5 字符"/>
    <w:basedOn w:val="a0"/>
    <w:link w:val="5"/>
    <w:uiPriority w:val="9"/>
    <w:qFormat/>
    <w:rPr>
      <w:rFonts w:ascii="微软雅黑" w:eastAsia="仿宋_GB2312" w:hAnsi="微软雅黑" w:cs="微软雅黑"/>
      <w:sz w:val="28"/>
      <w:szCs w:val="28"/>
    </w:rPr>
  </w:style>
  <w:style w:type="paragraph" w:styleId="a7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永 成</cp:lastModifiedBy>
  <cp:revision>19</cp:revision>
  <dcterms:created xsi:type="dcterms:W3CDTF">2023-04-18T07:49:00Z</dcterms:created>
  <dcterms:modified xsi:type="dcterms:W3CDTF">2023-05-18T01:17:00Z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C1C546FAB9524CDF968680A544F8E7B5_12</vt:lpwstr>
  </property>
</Properties>
</file>